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3D23" w:rsidRPr="002F3D23" w:rsidRDefault="002F3D23" w:rsidP="002F3D23">
      <w:pPr>
        <w:rPr>
          <w:b/>
          <w:bCs/>
          <w:sz w:val="24"/>
          <w:szCs w:val="28"/>
        </w:rPr>
      </w:pPr>
      <w:r w:rsidRPr="002F3D23">
        <w:rPr>
          <w:rFonts w:hint="eastAsia"/>
          <w:b/>
          <w:bCs/>
          <w:sz w:val="24"/>
          <w:szCs w:val="28"/>
        </w:rPr>
        <w:t>关于防范俄罗斯石油贸易骗局的安全提醒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疫情期间，出现大量俄罗斯石油产品报盘，报价明显低于市场价格，此类多为虚假报盘，已有少数中国企业上当受骗。虚假报盘公司通常使用私人邮箱及离岸账户，给中方企业追回货款带来很大困难。我处特整理汇总虚假报盘特点及识别方法，供中国企业参考。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一、报盘特点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（一）不对买方资质财务信用提要求（如财务报表资金证明等），仅发出LOI或ICPO便能获取报价及运作流程，有时LOI和ICPO都不用就通过中间人拿到报价。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（二）报价超低，量巨大，诱惑大。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（三）伪装成大公司。冒用</w:t>
      </w:r>
      <w:proofErr w:type="gramStart"/>
      <w:r w:rsidRPr="002F3D23">
        <w:rPr>
          <w:rFonts w:hint="eastAsia"/>
        </w:rPr>
        <w:t>俄油或俄气</w:t>
      </w:r>
      <w:proofErr w:type="gramEnd"/>
      <w:r w:rsidRPr="002F3D23">
        <w:rPr>
          <w:rFonts w:hint="eastAsia"/>
        </w:rPr>
        <w:t>名头，能提供相关交易记录文件。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（四）往来文件低级错误常见，上下文内容不统一，金额数量书写不规范，盖章签名基本是PS的。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（五）中间人不是业内人士，不清楚产品资质要求及监管条件。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（六）同意CIF交易和买方先卸货并经CCIC或CIQ检验合格后付款。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（七）业务洽谈邮件往来通过私人邮箱。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二、俄罗斯石油贸易骗局的识别方法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多数</w:t>
      </w:r>
      <w:proofErr w:type="gramStart"/>
      <w:r w:rsidRPr="002F3D23">
        <w:rPr>
          <w:rFonts w:hint="eastAsia"/>
        </w:rPr>
        <w:t>假盘基本</w:t>
      </w:r>
      <w:proofErr w:type="gramEnd"/>
      <w:r w:rsidRPr="002F3D23">
        <w:rPr>
          <w:rFonts w:hint="eastAsia"/>
        </w:rPr>
        <w:t>都会发来各类营业执照、交易记录等文件，文件中包含供应商的信息及其联系方式、网站信息和电子邮箱，以及一些船舶到港记录，下面就这些问题如何通过技术手段识别分析做出总结：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（一）供应商审查法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应对供应商的单位名称、地址、联系方式进行审查，多数报盘发来的交易记录文件中显示的供应商都是俄罗斯石油巨头（如俄油、俄气、卢克石油等），可登录相关网站查询核实相关信息。</w:t>
      </w:r>
      <w:proofErr w:type="gramStart"/>
      <w:r w:rsidRPr="002F3D23">
        <w:rPr>
          <w:rFonts w:hint="eastAsia"/>
        </w:rPr>
        <w:t>俄油官</w:t>
      </w:r>
      <w:proofErr w:type="gramEnd"/>
      <w:r w:rsidRPr="002F3D23">
        <w:rPr>
          <w:rFonts w:hint="eastAsia"/>
        </w:rPr>
        <w:t>网：http://www.rosneft.com，</w:t>
      </w:r>
      <w:proofErr w:type="gramStart"/>
      <w:r w:rsidRPr="002F3D23">
        <w:rPr>
          <w:rFonts w:hint="eastAsia"/>
        </w:rPr>
        <w:t>俄气官网</w:t>
      </w:r>
      <w:proofErr w:type="gramEnd"/>
      <w:r w:rsidRPr="002F3D23">
        <w:rPr>
          <w:rFonts w:hint="eastAsia"/>
        </w:rPr>
        <w:t>：http://www.gazprom.com，卢克石油官网：http://www.lukoil.com。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（二）网站信息检查法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识别网站的最直接有效的方法是查询</w:t>
      </w:r>
      <w:proofErr w:type="spellStart"/>
      <w:r w:rsidRPr="002F3D23">
        <w:rPr>
          <w:rFonts w:hint="eastAsia"/>
        </w:rPr>
        <w:t>whios</w:t>
      </w:r>
      <w:proofErr w:type="spellEnd"/>
      <w:r w:rsidRPr="002F3D23">
        <w:rPr>
          <w:rFonts w:hint="eastAsia"/>
        </w:rPr>
        <w:t>，查看域名的注册时间、所有者、联系方式和IP地址定位等信息。石油产品企业在生产经营之</w:t>
      </w:r>
      <w:proofErr w:type="gramStart"/>
      <w:r w:rsidRPr="002F3D23">
        <w:rPr>
          <w:rFonts w:hint="eastAsia"/>
        </w:rPr>
        <w:t>初或者</w:t>
      </w:r>
      <w:proofErr w:type="gramEnd"/>
      <w:r w:rsidRPr="002F3D23">
        <w:rPr>
          <w:rFonts w:hint="eastAsia"/>
        </w:rPr>
        <w:t>很早之前就已经将域名注册完毕，虚假报盘企业的域名通常最近两年才注册，域名的所有者是属于私人或注册所有者信息是隐藏的，或是供应</w:t>
      </w:r>
      <w:proofErr w:type="gramStart"/>
      <w:r w:rsidRPr="002F3D23">
        <w:rPr>
          <w:rFonts w:hint="eastAsia"/>
        </w:rPr>
        <w:t>商所在</w:t>
      </w:r>
      <w:proofErr w:type="gramEnd"/>
      <w:r w:rsidRPr="002F3D23">
        <w:rPr>
          <w:rFonts w:hint="eastAsia"/>
        </w:rPr>
        <w:t>国家地区与网站所有者不一致，或通过网站托管服务免费托管或是子域。正规炼油厂或石油贸易商不会选择网站免费托管服务进行托管，例如世界著名的网站建设服务商webs.com，“webs.com”是父域名，那“xxxx.webs.com”就是子域名，是免费托管的子域网站。IP地址定位查询：可通过站长之家、IP138查询卖方网站的IP地址所在地，IP地址所在国家地区与供应</w:t>
      </w:r>
      <w:proofErr w:type="gramStart"/>
      <w:r w:rsidRPr="002F3D23">
        <w:rPr>
          <w:rFonts w:hint="eastAsia"/>
        </w:rPr>
        <w:t>商所在</w:t>
      </w:r>
      <w:proofErr w:type="gramEnd"/>
      <w:r w:rsidRPr="002F3D23">
        <w:rPr>
          <w:rFonts w:hint="eastAsia"/>
        </w:rPr>
        <w:t>国家地区是否一致。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（三）邮箱识别法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邮箱识别法可参考网站信息检查法。有些供应商的邮箱为Gmail、</w:t>
      </w:r>
      <w:proofErr w:type="spellStart"/>
      <w:r w:rsidRPr="002F3D23">
        <w:rPr>
          <w:rFonts w:hint="eastAsia"/>
        </w:rPr>
        <w:t>hotmail</w:t>
      </w:r>
      <w:proofErr w:type="spellEnd"/>
      <w:r w:rsidRPr="002F3D23">
        <w:rPr>
          <w:rFonts w:hint="eastAsia"/>
        </w:rPr>
        <w:t>、yahoo、outlook等免费邮箱，正规企业不会使用免费的电子邮箱开展对外业务，通常使用付费固定的邮箱域名。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（四）文件识别法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多数虚假报盘都会发来很多文件来证明他们是真实的供应商。文件中很多细节都能看出真假，譬如合同文件、上下文是否统一，数字和金额的表达是否规范，盖章是否是PS</w:t>
      </w:r>
      <w:proofErr w:type="gramStart"/>
      <w:r w:rsidRPr="002F3D23">
        <w:rPr>
          <w:rFonts w:hint="eastAsia"/>
        </w:rPr>
        <w:t>抠图贴</w:t>
      </w:r>
      <w:proofErr w:type="gramEnd"/>
      <w:r w:rsidRPr="002F3D23">
        <w:rPr>
          <w:rFonts w:hint="eastAsia"/>
        </w:rPr>
        <w:t>上去的。WPF扫描图片的文件，其中某些文字内容部分是可做出编辑修改的，这明显是不对的，这些都是肉眼可以辨别的。如果以上都符合，那么大概率是虚假报盘，因为真实卖家不可能在文件上犯低级错误。还有一个识别方法就是：卖方宣称供应商是俄罗斯的几大石油巨头，买家可联系几大石油巨头官方的反诈骗部门，请其协助核实。</w:t>
      </w:r>
      <w:proofErr w:type="gramStart"/>
      <w:r w:rsidRPr="002F3D23">
        <w:rPr>
          <w:rFonts w:hint="eastAsia"/>
        </w:rPr>
        <w:t>俄油反诈骗官</w:t>
      </w:r>
      <w:r w:rsidRPr="002F3D23">
        <w:rPr>
          <w:rFonts w:hint="eastAsia"/>
        </w:rPr>
        <w:lastRenderedPageBreak/>
        <w:t>网</w:t>
      </w:r>
      <w:proofErr w:type="gramEnd"/>
      <w:r w:rsidRPr="002F3D23">
        <w:rPr>
          <w:rFonts w:hint="eastAsia"/>
        </w:rPr>
        <w:t>https://www.rosneft.ru/Investors/beware/，</w:t>
      </w:r>
      <w:proofErr w:type="gramStart"/>
      <w:r w:rsidRPr="002F3D23">
        <w:rPr>
          <w:rFonts w:hint="eastAsia"/>
        </w:rPr>
        <w:t>俄气反诈骗官网</w:t>
      </w:r>
      <w:proofErr w:type="gramEnd"/>
      <w:r w:rsidRPr="002F3D23">
        <w:rPr>
          <w:rFonts w:hint="eastAsia"/>
        </w:rPr>
        <w:t>https://www.gazprom-neft.ru/company/contacts/feedback/warning/，卢克石油反</w:t>
      </w:r>
      <w:proofErr w:type="gramStart"/>
      <w:r w:rsidRPr="002F3D23">
        <w:rPr>
          <w:rFonts w:hint="eastAsia"/>
        </w:rPr>
        <w:t>诈骗官网</w:t>
      </w:r>
      <w:proofErr w:type="gramEnd"/>
      <w:r w:rsidRPr="002F3D23">
        <w:rPr>
          <w:rFonts w:hint="eastAsia"/>
        </w:rPr>
        <w:t>https://lukoil.ru/warning。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（五）电话识别法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警惕4470开头的电话号码，因为4470的电话号码会将电话重新定向或者转接到另外一个号码上。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（六）银行识别法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收到的卖方银行信息若是一个离岸账户，那么必须注意，离案银行账户也是必须有许可和受到监管。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（七）业务流程识别法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众所周知，俄罗斯油品基本是全球最难拿的，且多数都控制在大集团手里，对国字头的企业和对待民企的标准完全不一样，对民企门槛超高，要符合入网条件，譬如资金要求等。俄油、</w:t>
      </w:r>
      <w:proofErr w:type="gramStart"/>
      <w:r w:rsidRPr="002F3D23">
        <w:rPr>
          <w:rFonts w:hint="eastAsia"/>
        </w:rPr>
        <w:t>俄气及</w:t>
      </w:r>
      <w:proofErr w:type="gramEnd"/>
      <w:r w:rsidRPr="002F3D23">
        <w:rPr>
          <w:rFonts w:hint="eastAsia"/>
        </w:rPr>
        <w:t>卢克石油等大</w:t>
      </w:r>
      <w:proofErr w:type="gramStart"/>
      <w:r w:rsidRPr="002F3D23">
        <w:rPr>
          <w:rFonts w:hint="eastAsia"/>
        </w:rPr>
        <w:t>企业官网也</w:t>
      </w:r>
      <w:proofErr w:type="gramEnd"/>
      <w:r w:rsidRPr="002F3D23">
        <w:rPr>
          <w:rFonts w:hint="eastAsia"/>
        </w:rPr>
        <w:t>明确说明不会通过电子邮件或是任何中间人进行业务往来。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（八）费用支付识别法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部分报盘会提前要求支付一些诸如运费、注册费及将合同或配额合法化的费用，这个显然也是不合乎逻辑的，且俄罗斯几大</w:t>
      </w:r>
      <w:proofErr w:type="gramStart"/>
      <w:r w:rsidRPr="002F3D23">
        <w:rPr>
          <w:rFonts w:hint="eastAsia"/>
        </w:rPr>
        <w:t>巨头官网都</w:t>
      </w:r>
      <w:proofErr w:type="gramEnd"/>
      <w:r w:rsidRPr="002F3D23">
        <w:rPr>
          <w:rFonts w:hint="eastAsia"/>
        </w:rPr>
        <w:t>明确表示，俄罗斯法律中没有需要到各部委登记的规定。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（九） 船舶到港信息检验法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卖方的文件中有显示货物运输船舶的装运港和目的港，以及日期，可根据船舶的IMO编号到中国海事</w:t>
      </w:r>
      <w:proofErr w:type="gramStart"/>
      <w:r w:rsidRPr="002F3D23">
        <w:rPr>
          <w:rFonts w:hint="eastAsia"/>
        </w:rPr>
        <w:t>局官网</w:t>
      </w:r>
      <w:proofErr w:type="gramEnd"/>
      <w:r w:rsidRPr="002F3D23">
        <w:rPr>
          <w:rFonts w:hint="eastAsia"/>
        </w:rPr>
        <w:t>（https://www.msa.gov.cn/page/trackingShip.do）</w:t>
      </w:r>
      <w:proofErr w:type="gramStart"/>
      <w:r w:rsidRPr="002F3D23">
        <w:rPr>
          <w:rFonts w:hint="eastAsia"/>
        </w:rPr>
        <w:t>查看此</w:t>
      </w:r>
      <w:proofErr w:type="gramEnd"/>
      <w:r w:rsidRPr="002F3D23">
        <w:rPr>
          <w:rFonts w:hint="eastAsia"/>
        </w:rPr>
        <w:t>船舶的历史到港信息以及历史轨迹信息。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（十）海关数据查询法</w:t>
      </w:r>
    </w:p>
    <w:p w:rsidR="002F3D23" w:rsidRPr="002F3D23" w:rsidRDefault="002F3D23" w:rsidP="002F3D23">
      <w:pPr>
        <w:rPr>
          <w:rFonts w:hint="eastAsia"/>
        </w:rPr>
      </w:pPr>
      <w:r w:rsidRPr="002F3D23">
        <w:rPr>
          <w:rFonts w:hint="eastAsia"/>
        </w:rPr>
        <w:t>以俄罗斯轻循环油产品为例，我海关总署数据显示2019年全年进口总量为7940吨，俄罗斯联邦海关数据显示，2019年全年向中国出口轻循环油总量为7920吨，基本与我国数据吻合，由此推断网上炒的每月10到20万吨的供油量基本都是虚假信息。</w:t>
      </w:r>
    </w:p>
    <w:p w:rsidR="008E721A" w:rsidRPr="002F3D23" w:rsidRDefault="008E721A">
      <w:pPr>
        <w:rPr>
          <w:rFonts w:hint="eastAsia"/>
        </w:rPr>
      </w:pPr>
    </w:p>
    <w:sectPr w:rsidR="008E721A" w:rsidRPr="002F3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23"/>
    <w:rsid w:val="002F3D23"/>
    <w:rsid w:val="007C56E0"/>
    <w:rsid w:val="008E721A"/>
    <w:rsid w:val="00E5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738D9-3CB5-41C1-8FC1-6E307627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70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single" w:sz="6" w:space="19" w:color="DCDCDC"/>
            <w:right w:val="none" w:sz="0" w:space="0" w:color="auto"/>
          </w:divBdr>
        </w:div>
        <w:div w:id="188448769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CDCDC"/>
            <w:right w:val="none" w:sz="0" w:space="8" w:color="auto"/>
          </w:divBdr>
        </w:div>
      </w:divsChild>
    </w:div>
    <w:div w:id="2053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233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single" w:sz="6" w:space="19" w:color="DCDCDC"/>
            <w:right w:val="none" w:sz="0" w:space="0" w:color="auto"/>
          </w:divBdr>
        </w:div>
        <w:div w:id="101457843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CDCDC"/>
            <w:right w:val="none" w:sz="0" w:space="8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chen</dc:creator>
  <cp:keywords/>
  <dc:description/>
  <cp:lastModifiedBy>leon chen</cp:lastModifiedBy>
  <cp:revision>1</cp:revision>
  <dcterms:created xsi:type="dcterms:W3CDTF">2024-09-06T08:06:00Z</dcterms:created>
  <dcterms:modified xsi:type="dcterms:W3CDTF">2024-09-06T08:06:00Z</dcterms:modified>
</cp:coreProperties>
</file>